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FA" w:rsidRPr="0040275E" w:rsidRDefault="001A14C4" w:rsidP="00516AF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bookmarkStart w:id="0" w:name="_GoBack"/>
      <w:bookmarkEnd w:id="0"/>
      <w:r w:rsidR="00516AFA">
        <w:rPr>
          <w:rFonts w:ascii="Arial" w:hAnsi="Arial" w:cs="Arial"/>
          <w:b/>
        </w:rPr>
        <w:t>ICC-Katheter - Workshop</w:t>
      </w:r>
    </w:p>
    <w:p w:rsidR="00516AFA" w:rsidRPr="003726A8" w:rsidRDefault="00516AFA" w:rsidP="00516AFA">
      <w:pPr>
        <w:widowControl w:val="0"/>
        <w:autoSpaceDE w:val="0"/>
        <w:autoSpaceDN w:val="0"/>
        <w:adjustRightInd w:val="0"/>
        <w:spacing w:line="220" w:lineRule="exact"/>
        <w:rPr>
          <w:rFonts w:ascii="Arial" w:hAnsi="Arial" w:cs="Arial"/>
          <w:kern w:val="1"/>
          <w:sz w:val="18"/>
          <w:szCs w:val="18"/>
        </w:rPr>
      </w:pPr>
      <w:r w:rsidRPr="00F21079">
        <w:rPr>
          <w:rFonts w:ascii="Arial" w:hAnsi="Arial" w:cs="Arial"/>
          <w:kern w:val="1"/>
          <w:sz w:val="18"/>
          <w:szCs w:val="18"/>
        </w:rPr>
        <w:t>D</w:t>
      </w:r>
      <w:r>
        <w:rPr>
          <w:rFonts w:ascii="Arial" w:hAnsi="Arial" w:cs="Arial"/>
          <w:kern w:val="1"/>
          <w:sz w:val="18"/>
          <w:szCs w:val="18"/>
        </w:rPr>
        <w:t>as</w:t>
      </w:r>
      <w:r w:rsidRPr="00F21079">
        <w:rPr>
          <w:rFonts w:ascii="Arial" w:hAnsi="Arial" w:cs="Arial"/>
          <w:kern w:val="1"/>
          <w:sz w:val="18"/>
          <w:szCs w:val="18"/>
        </w:rPr>
        <w:t xml:space="preserve"> </w:t>
      </w:r>
      <w:r>
        <w:rPr>
          <w:rFonts w:ascii="Arial" w:hAnsi="Arial" w:cs="Arial"/>
          <w:kern w:val="1"/>
          <w:sz w:val="18"/>
          <w:szCs w:val="18"/>
        </w:rPr>
        <w:t>PICC-</w:t>
      </w:r>
      <w:proofErr w:type="spellStart"/>
      <w:r w:rsidRPr="00F21079">
        <w:rPr>
          <w:rFonts w:ascii="Arial" w:hAnsi="Arial" w:cs="Arial"/>
          <w:kern w:val="1"/>
          <w:sz w:val="18"/>
          <w:szCs w:val="18"/>
        </w:rPr>
        <w:t>Kathe</w:t>
      </w:r>
      <w:r>
        <w:rPr>
          <w:rFonts w:ascii="Arial" w:hAnsi="Arial" w:cs="Arial"/>
          <w:kern w:val="1"/>
          <w:sz w:val="18"/>
          <w:szCs w:val="18"/>
        </w:rPr>
        <w:t>te</w:t>
      </w:r>
      <w:r w:rsidRPr="00F21079">
        <w:rPr>
          <w:rFonts w:ascii="Arial" w:hAnsi="Arial" w:cs="Arial"/>
          <w:kern w:val="1"/>
          <w:sz w:val="18"/>
          <w:szCs w:val="18"/>
        </w:rPr>
        <w:t>rsystem</w:t>
      </w:r>
      <w:proofErr w:type="spellEnd"/>
      <w:r>
        <w:rPr>
          <w:rFonts w:ascii="Arial" w:hAnsi="Arial" w:cs="Arial"/>
          <w:kern w:val="1"/>
          <w:sz w:val="18"/>
          <w:szCs w:val="18"/>
        </w:rPr>
        <w:t xml:space="preserve"> ist ein</w:t>
      </w:r>
      <w:r w:rsidRPr="00F21079">
        <w:rPr>
          <w:rFonts w:ascii="Arial" w:hAnsi="Arial" w:cs="Arial"/>
          <w:kern w:val="1"/>
          <w:sz w:val="18"/>
          <w:szCs w:val="18"/>
        </w:rPr>
        <w:t xml:space="preserve"> intravasale</w:t>
      </w:r>
      <w:r>
        <w:rPr>
          <w:rFonts w:ascii="Arial" w:hAnsi="Arial" w:cs="Arial"/>
          <w:kern w:val="1"/>
          <w:sz w:val="18"/>
          <w:szCs w:val="18"/>
        </w:rPr>
        <w:t>r</w:t>
      </w:r>
      <w:r w:rsidRPr="00F21079">
        <w:rPr>
          <w:rFonts w:ascii="Arial" w:hAnsi="Arial" w:cs="Arial"/>
          <w:kern w:val="1"/>
          <w:sz w:val="18"/>
          <w:szCs w:val="18"/>
        </w:rPr>
        <w:t xml:space="preserve"> Zug</w:t>
      </w:r>
      <w:r>
        <w:rPr>
          <w:rFonts w:ascii="Arial" w:hAnsi="Arial" w:cs="Arial"/>
          <w:kern w:val="1"/>
          <w:sz w:val="18"/>
          <w:szCs w:val="18"/>
        </w:rPr>
        <w:t>a</w:t>
      </w:r>
      <w:r w:rsidRPr="00F21079">
        <w:rPr>
          <w:rFonts w:ascii="Arial" w:hAnsi="Arial" w:cs="Arial"/>
          <w:kern w:val="1"/>
          <w:sz w:val="18"/>
          <w:szCs w:val="18"/>
        </w:rPr>
        <w:t xml:space="preserve">ng </w:t>
      </w:r>
      <w:r>
        <w:rPr>
          <w:rFonts w:ascii="Arial" w:hAnsi="Arial" w:cs="Arial"/>
          <w:kern w:val="1"/>
          <w:sz w:val="18"/>
          <w:szCs w:val="18"/>
        </w:rPr>
        <w:t xml:space="preserve">und findet Anwendung </w:t>
      </w:r>
      <w:r w:rsidRPr="00F21079">
        <w:rPr>
          <w:rFonts w:ascii="Arial" w:hAnsi="Arial" w:cs="Arial"/>
          <w:kern w:val="1"/>
          <w:sz w:val="18"/>
          <w:szCs w:val="18"/>
        </w:rPr>
        <w:t>bei länger andauernder Infusionstherapie. Das Handling für Infusionstherapien oder Blutentnahmen gehört zu einer kompetenten Pflege der Patientinnen</w:t>
      </w:r>
      <w:r>
        <w:rPr>
          <w:rFonts w:ascii="Arial" w:hAnsi="Arial" w:cs="Arial"/>
          <w:kern w:val="1"/>
          <w:sz w:val="18"/>
          <w:szCs w:val="18"/>
        </w:rPr>
        <w:t xml:space="preserve"> und Patienten</w:t>
      </w:r>
      <w:r w:rsidRPr="00F21079">
        <w:rPr>
          <w:rFonts w:ascii="Arial" w:hAnsi="Arial" w:cs="Arial"/>
          <w:kern w:val="1"/>
          <w:sz w:val="18"/>
          <w:szCs w:val="18"/>
        </w:rPr>
        <w:t xml:space="preserve">. </w:t>
      </w:r>
      <w:r>
        <w:rPr>
          <w:rFonts w:ascii="Arial" w:hAnsi="Arial" w:cs="Arial"/>
          <w:kern w:val="1"/>
          <w:sz w:val="18"/>
          <w:szCs w:val="18"/>
        </w:rPr>
        <w:t xml:space="preserve"> </w:t>
      </w:r>
    </w:p>
    <w:p w:rsidR="00516AFA" w:rsidRPr="00F21079" w:rsidRDefault="00516AFA" w:rsidP="00516AFA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b/>
          <w:spacing w:val="5"/>
          <w:kern w:val="1"/>
          <w:sz w:val="18"/>
          <w:szCs w:val="18"/>
        </w:rPr>
        <w:t>Ziele</w:t>
      </w:r>
    </w:p>
    <w:p w:rsidR="00516AFA" w:rsidRPr="00F21079" w:rsidRDefault="00516AFA" w:rsidP="00516AFA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Die Teilnehmenden  </w:t>
      </w:r>
    </w:p>
    <w:p w:rsidR="00516AFA" w:rsidRPr="00F21079" w:rsidRDefault="00516AFA" w:rsidP="00516AFA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>können ein</w:t>
      </w:r>
      <w:r>
        <w:rPr>
          <w:rFonts w:ascii="Arial" w:hAnsi="Arial" w:cs="Arial"/>
          <w:spacing w:val="5"/>
          <w:kern w:val="1"/>
          <w:sz w:val="18"/>
          <w:szCs w:val="18"/>
        </w:rPr>
        <w:t>en</w:t>
      </w: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 </w:t>
      </w:r>
      <w:r w:rsidRPr="00F21079">
        <w:rPr>
          <w:rFonts w:ascii="Arial" w:hAnsi="Arial" w:cs="Arial"/>
          <w:kern w:val="1"/>
          <w:sz w:val="18"/>
          <w:szCs w:val="18"/>
        </w:rPr>
        <w:t>PICC-Katheter</w:t>
      </w: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 sicher handhaben, blocken und verbinden </w:t>
      </w:r>
    </w:p>
    <w:p w:rsidR="00516AFA" w:rsidRPr="00F21079" w:rsidRDefault="00516AFA" w:rsidP="00516AFA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kennen die Beobachtungsschwerpunkte </w:t>
      </w:r>
    </w:p>
    <w:p w:rsidR="00516AFA" w:rsidRPr="00F21079" w:rsidRDefault="00516AFA" w:rsidP="00516AFA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können Komplikationen erkennen und korrekt handeln </w:t>
      </w:r>
    </w:p>
    <w:p w:rsidR="00516AFA" w:rsidRPr="00F21079" w:rsidRDefault="00516AFA" w:rsidP="00516AFA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wissen, wie der </w:t>
      </w:r>
      <w:r>
        <w:rPr>
          <w:rFonts w:ascii="Arial" w:hAnsi="Arial" w:cs="Arial"/>
          <w:spacing w:val="5"/>
          <w:kern w:val="1"/>
          <w:sz w:val="18"/>
          <w:szCs w:val="18"/>
        </w:rPr>
        <w:t>die Patientin/</w:t>
      </w:r>
      <w:r w:rsidRPr="00F21079">
        <w:rPr>
          <w:rFonts w:ascii="Arial" w:hAnsi="Arial" w:cs="Arial"/>
          <w:spacing w:val="5"/>
          <w:kern w:val="1"/>
          <w:sz w:val="18"/>
          <w:szCs w:val="18"/>
        </w:rPr>
        <w:t>Patient informiert wird und was dokumentiert werden muss</w:t>
      </w:r>
    </w:p>
    <w:p w:rsidR="00516AFA" w:rsidRDefault="00516AFA" w:rsidP="00516AFA">
      <w:pPr>
        <w:widowControl w:val="0"/>
        <w:numPr>
          <w:ilvl w:val="0"/>
          <w:numId w:val="1"/>
        </w:numPr>
        <w:tabs>
          <w:tab w:val="left" w:pos="170"/>
        </w:tabs>
        <w:autoSpaceDE w:val="0"/>
        <w:autoSpaceDN w:val="0"/>
        <w:adjustRightInd w:val="0"/>
        <w:spacing w:after="0" w:line="220" w:lineRule="exact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wissen, wo und wie sie sich über den Umgang mit dem </w:t>
      </w:r>
      <w:r w:rsidRPr="00F21079">
        <w:rPr>
          <w:rFonts w:ascii="Arial" w:hAnsi="Arial" w:cs="Arial"/>
          <w:kern w:val="1"/>
          <w:sz w:val="18"/>
          <w:szCs w:val="18"/>
        </w:rPr>
        <w:t>PICC-Katheter orientieren können</w:t>
      </w:r>
    </w:p>
    <w:p w:rsidR="00516AFA" w:rsidRPr="003726A8" w:rsidRDefault="00516AFA" w:rsidP="00516AFA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ind w:left="284"/>
        <w:rPr>
          <w:rFonts w:ascii="Arial" w:hAnsi="Arial" w:cs="Arial"/>
          <w:spacing w:val="5"/>
          <w:kern w:val="1"/>
          <w:sz w:val="18"/>
          <w:szCs w:val="18"/>
        </w:rPr>
      </w:pPr>
    </w:p>
    <w:p w:rsidR="00516AFA" w:rsidRPr="00F21079" w:rsidRDefault="00516AFA" w:rsidP="00516AFA">
      <w:pPr>
        <w:widowControl w:val="0"/>
        <w:tabs>
          <w:tab w:val="left" w:pos="1134"/>
        </w:tabs>
        <w:autoSpaceDE w:val="0"/>
        <w:autoSpaceDN w:val="0"/>
        <w:adjustRightInd w:val="0"/>
        <w:spacing w:line="220" w:lineRule="exact"/>
        <w:ind w:right="663"/>
        <w:outlineLvl w:val="0"/>
        <w:rPr>
          <w:rFonts w:ascii="Arial" w:hAnsi="Arial" w:cs="Arial"/>
          <w:b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b/>
          <w:spacing w:val="5"/>
          <w:kern w:val="1"/>
          <w:sz w:val="18"/>
          <w:szCs w:val="18"/>
        </w:rPr>
        <w:t>Schwerpunkte</w:t>
      </w:r>
    </w:p>
    <w:p w:rsidR="00516AFA" w:rsidRPr="00F21079" w:rsidRDefault="00516AFA" w:rsidP="00516AF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Indikationen und Anwendungsmöglichkeiten für </w:t>
      </w:r>
      <w:r w:rsidRPr="00F21079">
        <w:rPr>
          <w:rFonts w:ascii="Arial" w:hAnsi="Arial" w:cs="Arial"/>
          <w:kern w:val="1"/>
          <w:sz w:val="18"/>
          <w:szCs w:val="18"/>
        </w:rPr>
        <w:t>PICC-Katheter</w:t>
      </w:r>
    </w:p>
    <w:p w:rsidR="00516AFA" w:rsidRPr="00F21079" w:rsidRDefault="00516AFA" w:rsidP="00516AF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Anwendung der </w:t>
      </w:r>
      <w:proofErr w:type="spellStart"/>
      <w:r w:rsidRPr="00F21079">
        <w:rPr>
          <w:rFonts w:ascii="Arial" w:hAnsi="Arial" w:cs="Arial"/>
          <w:spacing w:val="5"/>
          <w:kern w:val="1"/>
          <w:sz w:val="18"/>
          <w:szCs w:val="18"/>
        </w:rPr>
        <w:t>Zuspritzkonnektoren</w:t>
      </w:r>
      <w:proofErr w:type="spellEnd"/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 (Micro-</w:t>
      </w:r>
      <w:proofErr w:type="spellStart"/>
      <w:r w:rsidRPr="00F21079">
        <w:rPr>
          <w:rFonts w:ascii="Arial" w:hAnsi="Arial" w:cs="Arial"/>
          <w:spacing w:val="5"/>
          <w:kern w:val="1"/>
          <w:sz w:val="18"/>
          <w:szCs w:val="18"/>
        </w:rPr>
        <w:t>Clave</w:t>
      </w:r>
      <w:proofErr w:type="spellEnd"/>
      <w:r w:rsidRPr="00F21079">
        <w:rPr>
          <w:rFonts w:ascii="Arial" w:hAnsi="Arial" w:cs="Arial"/>
          <w:spacing w:val="5"/>
          <w:kern w:val="1"/>
          <w:sz w:val="18"/>
          <w:szCs w:val="18"/>
          <w:vertAlign w:val="superscript"/>
        </w:rPr>
        <w:t>®</w:t>
      </w:r>
      <w:r w:rsidRPr="00F21079">
        <w:rPr>
          <w:rFonts w:ascii="Arial" w:hAnsi="Arial" w:cs="Arial"/>
          <w:spacing w:val="5"/>
          <w:kern w:val="1"/>
          <w:sz w:val="18"/>
          <w:szCs w:val="18"/>
        </w:rPr>
        <w:t>)</w:t>
      </w:r>
    </w:p>
    <w:p w:rsidR="00516AFA" w:rsidRPr="00F21079" w:rsidRDefault="00516AFA" w:rsidP="00516AF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>Vorgehen Blutentnahme und Infusionstherapie</w:t>
      </w:r>
    </w:p>
    <w:p w:rsidR="00516AFA" w:rsidRPr="00F21079" w:rsidRDefault="00516AFA" w:rsidP="00516AF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>Fixation des Katheters</w:t>
      </w:r>
    </w:p>
    <w:p w:rsidR="00516AFA" w:rsidRPr="00F21079" w:rsidRDefault="00516AFA" w:rsidP="00516AF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>Blocken des Systems</w:t>
      </w:r>
    </w:p>
    <w:p w:rsidR="00516AFA" w:rsidRPr="00F21079" w:rsidRDefault="00516AFA" w:rsidP="00516AF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Komplikationen </w:t>
      </w:r>
    </w:p>
    <w:p w:rsidR="00516AFA" w:rsidRPr="00F21079" w:rsidRDefault="00516AFA" w:rsidP="00516AF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Was tun bei einem verstopften Katheter? </w:t>
      </w:r>
    </w:p>
    <w:p w:rsidR="00516AFA" w:rsidRPr="00F21079" w:rsidRDefault="00516AFA" w:rsidP="00516AF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>Entfernen des Katheters</w:t>
      </w:r>
    </w:p>
    <w:p w:rsidR="00516AFA" w:rsidRDefault="00516AFA" w:rsidP="00516AFA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20" w:lineRule="exact"/>
        <w:ind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Informationen an </w:t>
      </w:r>
      <w:r>
        <w:rPr>
          <w:rFonts w:ascii="Arial" w:hAnsi="Arial" w:cs="Arial"/>
          <w:spacing w:val="5"/>
          <w:kern w:val="1"/>
          <w:sz w:val="18"/>
          <w:szCs w:val="18"/>
        </w:rPr>
        <w:t>die Patientin/</w:t>
      </w:r>
      <w:proofErr w:type="gramStart"/>
      <w:r>
        <w:rPr>
          <w:rFonts w:ascii="Arial" w:hAnsi="Arial" w:cs="Arial"/>
          <w:spacing w:val="5"/>
          <w:kern w:val="1"/>
          <w:sz w:val="18"/>
          <w:szCs w:val="18"/>
        </w:rPr>
        <w:t>den Patient</w:t>
      </w:r>
      <w:proofErr w:type="gramEnd"/>
      <w:r w:rsidRPr="00F21079">
        <w:rPr>
          <w:rFonts w:ascii="Arial" w:hAnsi="Arial" w:cs="Arial"/>
          <w:spacing w:val="5"/>
          <w:kern w:val="1"/>
          <w:sz w:val="18"/>
          <w:szCs w:val="18"/>
        </w:rPr>
        <w:t xml:space="preserve">, Dokumentation </w:t>
      </w:r>
    </w:p>
    <w:p w:rsidR="00516AFA" w:rsidRPr="003726A8" w:rsidRDefault="00516AFA" w:rsidP="00516A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20" w:lineRule="exact"/>
        <w:ind w:left="284" w:right="663"/>
        <w:outlineLvl w:val="0"/>
        <w:rPr>
          <w:rFonts w:ascii="Arial" w:hAnsi="Arial" w:cs="Arial"/>
          <w:spacing w:val="5"/>
          <w:kern w:val="1"/>
          <w:sz w:val="18"/>
          <w:szCs w:val="18"/>
        </w:rPr>
      </w:pPr>
    </w:p>
    <w:p w:rsidR="00516AFA" w:rsidRDefault="00516AFA" w:rsidP="00516AFA">
      <w:pPr>
        <w:pStyle w:val="KeinLeerraum"/>
        <w:rPr>
          <w:b/>
        </w:rPr>
      </w:pPr>
      <w:r w:rsidRPr="000F49A1">
        <w:rPr>
          <w:b/>
        </w:rPr>
        <w:t xml:space="preserve">Personenkreis </w:t>
      </w:r>
    </w:p>
    <w:p w:rsidR="00516AFA" w:rsidRPr="000F49A1" w:rsidRDefault="00516AFA" w:rsidP="00516AFA">
      <w:pPr>
        <w:pStyle w:val="KeinLeerraum"/>
        <w:rPr>
          <w:b/>
          <w:sz w:val="10"/>
          <w:szCs w:val="10"/>
        </w:rPr>
      </w:pPr>
    </w:p>
    <w:p w:rsidR="00516AFA" w:rsidRDefault="00516AFA" w:rsidP="00516AFA">
      <w:pPr>
        <w:pStyle w:val="KeinLeerraum"/>
      </w:pPr>
      <w:r w:rsidRPr="00F21079">
        <w:t>Pflegefachpersonen inkl. Expertinnen Notfall, Endoskopie, Pneumologie, Mitarbeitende der Radiologie MTTP</w:t>
      </w:r>
    </w:p>
    <w:p w:rsidR="00516AFA" w:rsidRPr="003726A8" w:rsidRDefault="00516AFA" w:rsidP="00516AFA">
      <w:pPr>
        <w:pStyle w:val="KeinLeerraum"/>
      </w:pPr>
    </w:p>
    <w:p w:rsidR="00516AFA" w:rsidRDefault="00516AFA" w:rsidP="00516AFA">
      <w:pPr>
        <w:pStyle w:val="KeinLeerraum"/>
        <w:rPr>
          <w:b/>
        </w:rPr>
      </w:pPr>
      <w:r w:rsidRPr="000F49A1">
        <w:rPr>
          <w:b/>
        </w:rPr>
        <w:t xml:space="preserve">Teilnehmerzahl </w:t>
      </w:r>
    </w:p>
    <w:p w:rsidR="00516AFA" w:rsidRPr="000F49A1" w:rsidRDefault="00516AFA" w:rsidP="00516AFA">
      <w:pPr>
        <w:pStyle w:val="KeinLeerraum"/>
        <w:rPr>
          <w:b/>
          <w:sz w:val="10"/>
          <w:szCs w:val="10"/>
        </w:rPr>
      </w:pPr>
    </w:p>
    <w:p w:rsidR="00516AFA" w:rsidRDefault="00516AFA" w:rsidP="00516AFA">
      <w:pPr>
        <w:pStyle w:val="KeinLeerraum"/>
      </w:pPr>
      <w:r w:rsidRPr="00F21079">
        <w:t>min. 8/ max. 1</w:t>
      </w:r>
      <w:r>
        <w:t>6</w:t>
      </w:r>
      <w:r w:rsidRPr="00F21079">
        <w:t xml:space="preserve"> Personen</w:t>
      </w:r>
    </w:p>
    <w:p w:rsidR="00516AFA" w:rsidRPr="003726A8" w:rsidRDefault="00516AFA" w:rsidP="00516AFA">
      <w:pPr>
        <w:pStyle w:val="KeinLeerraum"/>
      </w:pPr>
    </w:p>
    <w:p w:rsidR="00516AFA" w:rsidRDefault="00516AFA" w:rsidP="00516AFA">
      <w:pPr>
        <w:pStyle w:val="KeinLeerraum"/>
        <w:rPr>
          <w:b/>
        </w:rPr>
      </w:pPr>
      <w:r w:rsidRPr="000F49A1">
        <w:rPr>
          <w:b/>
        </w:rPr>
        <w:t>Referentinnen/Referent</w:t>
      </w:r>
    </w:p>
    <w:p w:rsidR="00516AFA" w:rsidRPr="000F49A1" w:rsidRDefault="00516AFA" w:rsidP="00516AFA">
      <w:pPr>
        <w:pStyle w:val="KeinLeerraum"/>
        <w:rPr>
          <w:b/>
          <w:sz w:val="10"/>
          <w:szCs w:val="10"/>
        </w:rPr>
      </w:pPr>
    </w:p>
    <w:p w:rsidR="00516AFA" w:rsidRPr="00F21079" w:rsidRDefault="00516AFA" w:rsidP="00516AFA">
      <w:pPr>
        <w:pStyle w:val="KeinLeerraum"/>
      </w:pPr>
      <w:r w:rsidRPr="00F21079">
        <w:t>Sabine Krause, Intensivpflegefachfrau, Pflegeexpertin M</w:t>
      </w:r>
      <w:r>
        <w:t>Sc</w:t>
      </w:r>
      <w:r w:rsidRPr="00F21079">
        <w:t>N, Pflege</w:t>
      </w:r>
      <w:r>
        <w:t>entwicklung</w:t>
      </w:r>
    </w:p>
    <w:p w:rsidR="00516AFA" w:rsidRDefault="00516AFA" w:rsidP="00516AFA">
      <w:pPr>
        <w:pStyle w:val="KeinLeerraum"/>
      </w:pPr>
      <w:r w:rsidRPr="00F21079">
        <w:t xml:space="preserve">Monika Hensler, Pflegefachfrau </w:t>
      </w:r>
      <w:proofErr w:type="spellStart"/>
      <w:r w:rsidRPr="00F21079">
        <w:t>Höfa</w:t>
      </w:r>
      <w:proofErr w:type="spellEnd"/>
      <w:r w:rsidRPr="00F21079">
        <w:t xml:space="preserve"> I Onkologie und MAS Onkologie, </w:t>
      </w:r>
      <w:r w:rsidR="00715C35">
        <w:t>Pflegeexpertin APN Onkologie</w:t>
      </w:r>
    </w:p>
    <w:p w:rsidR="00715C35" w:rsidRDefault="00715C35" w:rsidP="00516AFA">
      <w:pPr>
        <w:pStyle w:val="KeinLeerraum"/>
      </w:pPr>
      <w:r>
        <w:t>Bettina Canty, Pflegeexpertin, Medizin B8</w:t>
      </w:r>
    </w:p>
    <w:p w:rsidR="00715C35" w:rsidRDefault="00715C35" w:rsidP="00516AFA">
      <w:pPr>
        <w:pStyle w:val="KeinLeerraum"/>
      </w:pPr>
      <w:r>
        <w:t xml:space="preserve">Bettina Bosshard, Pflegeexpertin APN Onkologie </w:t>
      </w:r>
    </w:p>
    <w:p w:rsidR="00715C35" w:rsidRDefault="00715C35" w:rsidP="00516AFA">
      <w:pPr>
        <w:pStyle w:val="KeinLeerraum"/>
      </w:pPr>
    </w:p>
    <w:p w:rsidR="00516AFA" w:rsidRPr="003726A8" w:rsidRDefault="00516AFA" w:rsidP="00516AFA">
      <w:pPr>
        <w:widowControl w:val="0"/>
        <w:tabs>
          <w:tab w:val="left" w:pos="170"/>
        </w:tabs>
        <w:autoSpaceDE w:val="0"/>
        <w:autoSpaceDN w:val="0"/>
        <w:adjustRightInd w:val="0"/>
        <w:spacing w:after="0" w:line="220" w:lineRule="exact"/>
        <w:ind w:left="360"/>
        <w:rPr>
          <w:rFonts w:ascii="Arial" w:hAnsi="Arial" w:cs="Arial"/>
          <w:kern w:val="1"/>
          <w:sz w:val="18"/>
          <w:szCs w:val="18"/>
        </w:rPr>
      </w:pPr>
    </w:p>
    <w:p w:rsidR="00516AFA" w:rsidRDefault="00516AFA" w:rsidP="00516AFA">
      <w:pPr>
        <w:pStyle w:val="KeinLeerraum"/>
        <w:rPr>
          <w:b/>
        </w:rPr>
      </w:pPr>
      <w:r w:rsidRPr="000F49A1">
        <w:rPr>
          <w:b/>
        </w:rPr>
        <w:t xml:space="preserve">Zeitlicher Umfang </w:t>
      </w:r>
    </w:p>
    <w:p w:rsidR="00516AFA" w:rsidRPr="000F49A1" w:rsidRDefault="00516AFA" w:rsidP="00516AFA">
      <w:pPr>
        <w:pStyle w:val="KeinLeerraum"/>
        <w:rPr>
          <w:b/>
          <w:sz w:val="10"/>
          <w:szCs w:val="10"/>
        </w:rPr>
      </w:pPr>
    </w:p>
    <w:p w:rsidR="00516AFA" w:rsidRDefault="00516AFA" w:rsidP="00516AFA">
      <w:pPr>
        <w:pStyle w:val="KeinLeerraum"/>
      </w:pPr>
      <w:r w:rsidRPr="00F21079">
        <w:t xml:space="preserve">2 Stunden </w:t>
      </w:r>
    </w:p>
    <w:p w:rsidR="00516AFA" w:rsidRPr="00F21079" w:rsidRDefault="00516AFA" w:rsidP="00516AFA">
      <w:pPr>
        <w:pStyle w:val="KeinLeerraum"/>
      </w:pPr>
    </w:p>
    <w:p w:rsidR="00516AFA" w:rsidRDefault="00516AFA" w:rsidP="00516AFA">
      <w:pPr>
        <w:pStyle w:val="KeinLeerraum"/>
        <w:rPr>
          <w:b/>
        </w:rPr>
      </w:pPr>
      <w:r w:rsidRPr="000F49A1">
        <w:rPr>
          <w:b/>
        </w:rPr>
        <w:t>Daten, Zeit 1</w:t>
      </w:r>
      <w:r>
        <w:rPr>
          <w:b/>
        </w:rPr>
        <w:t>4</w:t>
      </w:r>
      <w:r w:rsidRPr="000F49A1">
        <w:rPr>
          <w:b/>
        </w:rPr>
        <w:t>:</w:t>
      </w:r>
      <w:r>
        <w:rPr>
          <w:b/>
        </w:rPr>
        <w:t>0</w:t>
      </w:r>
      <w:r w:rsidRPr="000F49A1">
        <w:rPr>
          <w:b/>
        </w:rPr>
        <w:t>0-16:00 Uhr</w:t>
      </w:r>
      <w:r w:rsidRPr="00F21079">
        <w:tab/>
      </w:r>
      <w:r w:rsidRPr="00F21079">
        <w:tab/>
      </w:r>
      <w:r w:rsidRPr="00F21079">
        <w:tab/>
      </w:r>
      <w:r w:rsidRPr="000F49A1">
        <w:rPr>
          <w:b/>
        </w:rPr>
        <w:t>Anmeldeschluss</w:t>
      </w:r>
    </w:p>
    <w:p w:rsidR="00516AFA" w:rsidRPr="000F49A1" w:rsidRDefault="00516AFA" w:rsidP="00516AFA">
      <w:pPr>
        <w:pStyle w:val="KeinLeerraum"/>
        <w:rPr>
          <w:b/>
          <w:sz w:val="10"/>
          <w:szCs w:val="10"/>
        </w:rPr>
      </w:pPr>
    </w:p>
    <w:p w:rsidR="00516AFA" w:rsidRDefault="00516AFA" w:rsidP="00516AFA">
      <w:pPr>
        <w:pStyle w:val="KeinLeerraum"/>
        <w:shd w:val="clear" w:color="auto" w:fill="FFFFFF" w:themeFill="background1"/>
      </w:pPr>
      <w:r>
        <w:t>M</w:t>
      </w:r>
      <w:r w:rsidR="00A665D3">
        <w:t>i</w:t>
      </w:r>
      <w:r w:rsidRPr="004043DB">
        <w:t xml:space="preserve">, </w:t>
      </w:r>
      <w:r w:rsidR="00A665D3">
        <w:t>18</w:t>
      </w:r>
      <w:r>
        <w:t>.</w:t>
      </w:r>
      <w:r w:rsidRPr="004043DB">
        <w:t xml:space="preserve"> </w:t>
      </w:r>
      <w:r>
        <w:t>März</w:t>
      </w:r>
      <w:r w:rsidRPr="004043DB">
        <w:t xml:space="preserve"> 202</w:t>
      </w:r>
      <w:r w:rsidR="00A665D3">
        <w:t>6</w:t>
      </w:r>
      <w:r w:rsidRPr="004043DB">
        <w:t xml:space="preserve"> </w:t>
      </w:r>
      <w:r w:rsidRPr="004043DB">
        <w:tab/>
      </w:r>
      <w:r w:rsidRPr="004043DB">
        <w:tab/>
      </w:r>
      <w:r w:rsidRPr="004043DB">
        <w:tab/>
      </w:r>
      <w:r w:rsidRPr="004043DB">
        <w:tab/>
      </w:r>
      <w:r w:rsidR="00A665D3">
        <w:t>18</w:t>
      </w:r>
      <w:r w:rsidRPr="004043DB">
        <w:t xml:space="preserve">. </w:t>
      </w:r>
      <w:r>
        <w:t>Februar 202</w:t>
      </w:r>
      <w:r w:rsidR="00A665D3">
        <w:t>6</w:t>
      </w:r>
    </w:p>
    <w:p w:rsidR="00516AFA" w:rsidRDefault="00516AFA" w:rsidP="00516AFA">
      <w:pPr>
        <w:pStyle w:val="KeinLeerraum"/>
        <w:shd w:val="clear" w:color="auto" w:fill="FFFFFF" w:themeFill="background1"/>
      </w:pPr>
      <w:r>
        <w:t>D</w:t>
      </w:r>
      <w:r w:rsidR="00A665D3">
        <w:t>o</w:t>
      </w:r>
      <w:r>
        <w:t xml:space="preserve">, </w:t>
      </w:r>
      <w:r w:rsidR="00A665D3">
        <w:t>0</w:t>
      </w:r>
      <w:r>
        <w:t>2</w:t>
      </w:r>
      <w:r w:rsidR="00A665D3">
        <w:t>. Juli 2026</w:t>
      </w:r>
      <w:r w:rsidR="00A665D3">
        <w:tab/>
      </w:r>
      <w:r w:rsidR="00A665D3">
        <w:tab/>
      </w:r>
      <w:r w:rsidR="00A665D3">
        <w:tab/>
      </w:r>
      <w:r w:rsidR="00A665D3">
        <w:tab/>
      </w:r>
      <w:r w:rsidR="00A665D3">
        <w:tab/>
        <w:t>02. Juni 2026</w:t>
      </w:r>
    </w:p>
    <w:p w:rsidR="00A665D3" w:rsidRDefault="00A665D3" w:rsidP="00516AFA">
      <w:pPr>
        <w:pStyle w:val="KeinLeerraum"/>
        <w:shd w:val="clear" w:color="auto" w:fill="FFFFFF" w:themeFill="background1"/>
      </w:pPr>
      <w:r>
        <w:t>Mi, 14. Oktober 2026</w:t>
      </w:r>
      <w:r>
        <w:tab/>
      </w:r>
      <w:r>
        <w:tab/>
      </w:r>
      <w:r>
        <w:tab/>
      </w:r>
      <w:r>
        <w:tab/>
        <w:t>14. September 2026</w:t>
      </w:r>
    </w:p>
    <w:p w:rsidR="00516AFA" w:rsidRPr="0049597C" w:rsidRDefault="00516AFA" w:rsidP="00516AFA">
      <w:pPr>
        <w:pStyle w:val="KeinLeerraum"/>
        <w:rPr>
          <w:b/>
        </w:rPr>
      </w:pPr>
    </w:p>
    <w:p w:rsidR="00516AFA" w:rsidRPr="0049597C" w:rsidRDefault="00516AFA" w:rsidP="00516AFA">
      <w:pPr>
        <w:pStyle w:val="KeinLeerraum"/>
        <w:rPr>
          <w:b/>
        </w:rPr>
      </w:pPr>
    </w:p>
    <w:p w:rsidR="00516AFA" w:rsidRPr="00A665D3" w:rsidRDefault="00516AFA" w:rsidP="00516AFA">
      <w:pPr>
        <w:pStyle w:val="KeinLeerraum"/>
        <w:rPr>
          <w:b/>
        </w:rPr>
      </w:pPr>
      <w:r w:rsidRPr="0079292F">
        <w:rPr>
          <w:b/>
        </w:rPr>
        <w:t>Ort</w:t>
      </w:r>
    </w:p>
    <w:p w:rsidR="00516AFA" w:rsidRDefault="00516AFA" w:rsidP="00516AFA">
      <w:pPr>
        <w:pStyle w:val="KeinLeerraum"/>
      </w:pPr>
      <w:r>
        <w:t xml:space="preserve">Haus A - U1 - SZ </w:t>
      </w:r>
      <w:proofErr w:type="spellStart"/>
      <w:r w:rsidRPr="00DF57A3">
        <w:t>Brüelberg</w:t>
      </w:r>
      <w:proofErr w:type="spellEnd"/>
      <w:r>
        <w:t xml:space="preserve">    </w:t>
      </w:r>
    </w:p>
    <w:p w:rsidR="00A665D3" w:rsidRDefault="00A665D3" w:rsidP="00516AFA">
      <w:pPr>
        <w:pStyle w:val="KeinLeerraum"/>
        <w:rPr>
          <w:b/>
        </w:rPr>
      </w:pPr>
    </w:p>
    <w:p w:rsidR="00516AFA" w:rsidRPr="00A665D3" w:rsidRDefault="00516AFA" w:rsidP="00516AFA">
      <w:pPr>
        <w:pStyle w:val="KeinLeerraum"/>
      </w:pPr>
      <w:r w:rsidRPr="00A665D3">
        <w:rPr>
          <w:b/>
        </w:rPr>
        <w:t xml:space="preserve">Kosten extern: </w:t>
      </w:r>
      <w:r w:rsidRPr="00A665D3">
        <w:t>Fr. 100.00</w:t>
      </w:r>
    </w:p>
    <w:p w:rsidR="00516AFA" w:rsidRPr="00A665D3" w:rsidRDefault="00516AFA" w:rsidP="00516AFA">
      <w:pPr>
        <w:rPr>
          <w:rFonts w:ascii="Arial" w:hAnsi="Arial"/>
          <w:sz w:val="18"/>
        </w:rPr>
      </w:pPr>
    </w:p>
    <w:p w:rsidR="00AC4528" w:rsidRDefault="001A14C4"/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55F0"/>
    <w:multiLevelType w:val="hybridMultilevel"/>
    <w:tmpl w:val="26AE69D0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E77CF"/>
    <w:multiLevelType w:val="hybridMultilevel"/>
    <w:tmpl w:val="3B8CD73C"/>
    <w:lvl w:ilvl="0" w:tplc="C124FB3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FA"/>
    <w:rsid w:val="001A14C4"/>
    <w:rsid w:val="00516AFA"/>
    <w:rsid w:val="00715C35"/>
    <w:rsid w:val="008108C2"/>
    <w:rsid w:val="008B7DA2"/>
    <w:rsid w:val="00A665D3"/>
    <w:rsid w:val="00E3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393C1"/>
  <w15:chartTrackingRefBased/>
  <w15:docId w15:val="{185DD3B7-493E-4F82-9753-017ACD56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6AFA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16AFA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2</cp:revision>
  <dcterms:created xsi:type="dcterms:W3CDTF">2025-07-16T11:16:00Z</dcterms:created>
  <dcterms:modified xsi:type="dcterms:W3CDTF">2025-07-16T11:16:00Z</dcterms:modified>
</cp:coreProperties>
</file>